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BD" w:rsidRPr="00DF6A4B" w:rsidRDefault="00965DAE" w:rsidP="00E630BD">
      <w:pPr>
        <w:jc w:val="center"/>
        <w:rPr>
          <w:b/>
          <w:sz w:val="48"/>
          <w:szCs w:val="48"/>
        </w:rPr>
      </w:pPr>
      <w:r w:rsidRPr="0058293D">
        <w:rPr>
          <w:b/>
          <w:sz w:val="40"/>
          <w:szCs w:val="40"/>
        </w:rPr>
        <w:t xml:space="preserve">  </w:t>
      </w:r>
      <w:r w:rsidR="00E630BD" w:rsidRPr="00DF6A4B">
        <w:rPr>
          <w:b/>
          <w:sz w:val="48"/>
          <w:szCs w:val="48"/>
        </w:rPr>
        <w:t>City of Wadsworth</w:t>
      </w:r>
    </w:p>
    <w:p w:rsidR="00965DAE" w:rsidRPr="00DF6A4B" w:rsidRDefault="00965DAE" w:rsidP="00E630BD">
      <w:pPr>
        <w:jc w:val="center"/>
        <w:rPr>
          <w:b/>
          <w:sz w:val="36"/>
          <w:szCs w:val="36"/>
        </w:rPr>
      </w:pPr>
      <w:r w:rsidRPr="00DF6A4B">
        <w:rPr>
          <w:b/>
          <w:sz w:val="36"/>
          <w:szCs w:val="36"/>
        </w:rPr>
        <w:t>Position Description</w:t>
      </w:r>
    </w:p>
    <w:p w:rsidR="00965DAE" w:rsidRPr="0058293D" w:rsidRDefault="00965DAE" w:rsidP="00965DAE">
      <w:pPr>
        <w:ind w:left="-540"/>
        <w:rPr>
          <w:b/>
          <w:sz w:val="40"/>
          <w:szCs w:val="40"/>
        </w:rPr>
      </w:pPr>
      <w:r w:rsidRPr="0058293D">
        <w:rPr>
          <w:b/>
          <w:sz w:val="40"/>
          <w:szCs w:val="40"/>
        </w:rPr>
        <w:t>_____________________________________________</w:t>
      </w:r>
    </w:p>
    <w:p w:rsidR="001F0BB9" w:rsidRPr="0058293D" w:rsidRDefault="001F0BB9"/>
    <w:p w:rsidR="00E630BD" w:rsidRPr="0058293D" w:rsidRDefault="00E2674C" w:rsidP="00AD25D6">
      <w:pPr>
        <w:ind w:left="-540"/>
        <w:rPr>
          <w:sz w:val="28"/>
          <w:szCs w:val="28"/>
        </w:rPr>
      </w:pPr>
      <w:r w:rsidRPr="00DF6A4B">
        <w:rPr>
          <w:sz w:val="28"/>
          <w:szCs w:val="28"/>
        </w:rPr>
        <w:t>Classification:</w:t>
      </w:r>
      <w:r w:rsidRPr="0058293D">
        <w:rPr>
          <w:sz w:val="32"/>
          <w:szCs w:val="32"/>
        </w:rPr>
        <w:tab/>
      </w:r>
      <w:r w:rsidR="00E630BD" w:rsidRPr="0058293D">
        <w:t xml:space="preserve"> </w:t>
      </w:r>
      <w:r w:rsidR="00E630BD" w:rsidRPr="0058293D">
        <w:tab/>
      </w:r>
      <w:r w:rsidR="001F0BB9" w:rsidRPr="0058293D">
        <w:tab/>
      </w:r>
      <w:r w:rsidR="00AB7F7E" w:rsidRPr="00AB7F7E">
        <w:rPr>
          <w:sz w:val="28"/>
          <w:szCs w:val="28"/>
        </w:rPr>
        <w:t>Internal Auditor</w:t>
      </w:r>
      <w:r w:rsidR="00AB7F7E">
        <w:t>/</w:t>
      </w:r>
      <w:r w:rsidR="003600A2">
        <w:rPr>
          <w:sz w:val="28"/>
          <w:szCs w:val="28"/>
        </w:rPr>
        <w:t>Accountant</w:t>
      </w:r>
      <w:r w:rsidR="009A437F">
        <w:rPr>
          <w:sz w:val="28"/>
          <w:szCs w:val="28"/>
        </w:rPr>
        <w:t xml:space="preserve"> </w:t>
      </w:r>
      <w:r w:rsidR="00AB7F7E">
        <w:rPr>
          <w:sz w:val="28"/>
          <w:szCs w:val="28"/>
        </w:rPr>
        <w:t>I</w:t>
      </w:r>
      <w:r w:rsidR="003600A2">
        <w:rPr>
          <w:sz w:val="28"/>
          <w:szCs w:val="28"/>
        </w:rPr>
        <w:t>I</w:t>
      </w:r>
    </w:p>
    <w:p w:rsidR="00E630BD" w:rsidRPr="0058293D" w:rsidRDefault="00E630BD" w:rsidP="00AD25D6">
      <w:pPr>
        <w:ind w:left="-540"/>
        <w:rPr>
          <w:sz w:val="28"/>
          <w:szCs w:val="28"/>
        </w:rPr>
      </w:pPr>
    </w:p>
    <w:p w:rsidR="00E630BD" w:rsidRPr="00DF6A4B" w:rsidRDefault="00E2674C" w:rsidP="00AD25D6">
      <w:pPr>
        <w:ind w:left="-540"/>
        <w:rPr>
          <w:sz w:val="28"/>
          <w:szCs w:val="28"/>
        </w:rPr>
      </w:pPr>
      <w:r w:rsidRPr="00DF6A4B">
        <w:rPr>
          <w:sz w:val="28"/>
          <w:szCs w:val="28"/>
        </w:rPr>
        <w:t>Department</w:t>
      </w:r>
      <w:r w:rsidR="00E630BD" w:rsidRPr="00DF6A4B">
        <w:rPr>
          <w:sz w:val="28"/>
          <w:szCs w:val="28"/>
        </w:rPr>
        <w:t>:</w:t>
      </w:r>
      <w:r w:rsidR="00E630BD" w:rsidRPr="00DF6A4B">
        <w:rPr>
          <w:sz w:val="28"/>
          <w:szCs w:val="28"/>
        </w:rPr>
        <w:tab/>
      </w:r>
      <w:r w:rsidR="001F0BB9" w:rsidRPr="00DF6A4B">
        <w:rPr>
          <w:sz w:val="28"/>
          <w:szCs w:val="28"/>
        </w:rPr>
        <w:tab/>
      </w:r>
      <w:r w:rsidR="001F0BB9" w:rsidRPr="00DF6A4B">
        <w:rPr>
          <w:sz w:val="28"/>
          <w:szCs w:val="28"/>
        </w:rPr>
        <w:tab/>
      </w:r>
      <w:r w:rsidR="00B10CB9" w:rsidRPr="00DF6A4B">
        <w:rPr>
          <w:sz w:val="28"/>
          <w:szCs w:val="28"/>
        </w:rPr>
        <w:t>Finance/</w:t>
      </w:r>
      <w:r w:rsidR="00D96E21" w:rsidRPr="00DF6A4B">
        <w:rPr>
          <w:sz w:val="28"/>
          <w:szCs w:val="28"/>
        </w:rPr>
        <w:t>Auditor’s Office</w:t>
      </w:r>
    </w:p>
    <w:p w:rsidR="00E630BD" w:rsidRPr="00DF6A4B" w:rsidRDefault="00E630BD" w:rsidP="00AD25D6">
      <w:pPr>
        <w:ind w:left="-540"/>
        <w:rPr>
          <w:sz w:val="28"/>
          <w:szCs w:val="28"/>
        </w:rPr>
      </w:pPr>
    </w:p>
    <w:p w:rsidR="00E630BD" w:rsidRPr="00DF6A4B" w:rsidRDefault="00E2674C" w:rsidP="00AD25D6">
      <w:pPr>
        <w:ind w:left="-540"/>
        <w:rPr>
          <w:sz w:val="28"/>
          <w:szCs w:val="28"/>
        </w:rPr>
      </w:pPr>
      <w:r w:rsidRPr="00DF6A4B">
        <w:rPr>
          <w:sz w:val="28"/>
          <w:szCs w:val="28"/>
        </w:rPr>
        <w:t>Reports to</w:t>
      </w:r>
      <w:r w:rsidR="00E630BD" w:rsidRPr="00DF6A4B">
        <w:rPr>
          <w:sz w:val="28"/>
          <w:szCs w:val="28"/>
        </w:rPr>
        <w:t xml:space="preserve">:   </w:t>
      </w:r>
      <w:r w:rsidR="00E630BD" w:rsidRPr="00DF6A4B">
        <w:rPr>
          <w:sz w:val="28"/>
          <w:szCs w:val="28"/>
        </w:rPr>
        <w:tab/>
      </w:r>
      <w:r w:rsidR="001F0BB9" w:rsidRPr="00DF6A4B">
        <w:rPr>
          <w:sz w:val="28"/>
          <w:szCs w:val="28"/>
        </w:rPr>
        <w:tab/>
      </w:r>
      <w:r w:rsidR="001F0BB9" w:rsidRPr="00DF6A4B">
        <w:rPr>
          <w:sz w:val="28"/>
          <w:szCs w:val="28"/>
        </w:rPr>
        <w:tab/>
      </w:r>
      <w:r w:rsidR="003600A2" w:rsidRPr="00DF6A4B">
        <w:rPr>
          <w:sz w:val="28"/>
          <w:szCs w:val="28"/>
        </w:rPr>
        <w:t>Auditor</w:t>
      </w:r>
    </w:p>
    <w:p w:rsidR="00E630BD" w:rsidRPr="00DF6A4B" w:rsidRDefault="00E630BD" w:rsidP="00AD25D6">
      <w:pPr>
        <w:ind w:left="-540"/>
        <w:rPr>
          <w:sz w:val="28"/>
          <w:szCs w:val="28"/>
        </w:rPr>
      </w:pPr>
    </w:p>
    <w:p w:rsidR="00E630BD" w:rsidRPr="00DF6A4B" w:rsidRDefault="00E2674C" w:rsidP="00AD25D6">
      <w:pPr>
        <w:ind w:left="-540"/>
        <w:rPr>
          <w:sz w:val="28"/>
          <w:szCs w:val="28"/>
        </w:rPr>
      </w:pPr>
      <w:r w:rsidRPr="00DF6A4B">
        <w:rPr>
          <w:sz w:val="28"/>
          <w:szCs w:val="28"/>
        </w:rPr>
        <w:t>Positions Supervised</w:t>
      </w:r>
      <w:r w:rsidR="00E630BD" w:rsidRPr="00DF6A4B">
        <w:rPr>
          <w:sz w:val="28"/>
          <w:szCs w:val="28"/>
        </w:rPr>
        <w:t>:</w:t>
      </w:r>
      <w:r w:rsidR="001F0BB9" w:rsidRPr="00DF6A4B">
        <w:rPr>
          <w:sz w:val="28"/>
          <w:szCs w:val="28"/>
        </w:rPr>
        <w:tab/>
      </w:r>
      <w:r w:rsidR="002D4337">
        <w:rPr>
          <w:sz w:val="28"/>
          <w:szCs w:val="28"/>
        </w:rPr>
        <w:tab/>
      </w:r>
      <w:r w:rsidR="00E630BD" w:rsidRPr="00DF6A4B">
        <w:rPr>
          <w:sz w:val="28"/>
          <w:szCs w:val="28"/>
        </w:rPr>
        <w:t>None</w:t>
      </w:r>
    </w:p>
    <w:p w:rsidR="007B0B22" w:rsidRPr="0058293D" w:rsidRDefault="007B0B22" w:rsidP="00AD25D6">
      <w:pPr>
        <w:ind w:left="-540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140"/>
      </w:tblGrid>
      <w:tr w:rsidR="007B0B22" w:rsidRPr="0058293D" w:rsidTr="00900FBE">
        <w:trPr>
          <w:trHeight w:val="591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25B" w:rsidRPr="0058293D" w:rsidRDefault="007B0B22" w:rsidP="003600A2">
            <w:pPr>
              <w:rPr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Status</w:t>
            </w:r>
            <w:r w:rsidR="00053CEC" w:rsidRPr="0058293D">
              <w:rPr>
                <w:b/>
                <w:sz w:val="28"/>
                <w:szCs w:val="28"/>
              </w:rPr>
              <w:t xml:space="preserve">: Full time (80 hours) </w:t>
            </w:r>
          </w:p>
        </w:tc>
        <w:tc>
          <w:tcPr>
            <w:tcW w:w="41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B22" w:rsidRPr="0058293D" w:rsidRDefault="007B0B22" w:rsidP="003600A2">
            <w:pPr>
              <w:rPr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Appointed:</w:t>
            </w:r>
            <w:r w:rsidRPr="0058293D">
              <w:rPr>
                <w:sz w:val="28"/>
                <w:szCs w:val="28"/>
              </w:rPr>
              <w:t xml:space="preserve">  </w:t>
            </w:r>
            <w:r w:rsidR="003600A2">
              <w:rPr>
                <w:sz w:val="28"/>
                <w:szCs w:val="28"/>
              </w:rPr>
              <w:t>Yes</w:t>
            </w:r>
          </w:p>
        </w:tc>
      </w:tr>
      <w:tr w:rsidR="007B0B22" w:rsidRPr="0058293D" w:rsidTr="00900FBE">
        <w:trPr>
          <w:trHeight w:val="530"/>
        </w:trPr>
        <w:tc>
          <w:tcPr>
            <w:tcW w:w="50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B0B22" w:rsidRPr="0058293D" w:rsidRDefault="007B0B22" w:rsidP="00EE62C8">
            <w:pPr>
              <w:rPr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Pay Grade:</w:t>
            </w:r>
            <w:r w:rsidRPr="0058293D">
              <w:rPr>
                <w:sz w:val="28"/>
                <w:szCs w:val="28"/>
              </w:rPr>
              <w:t xml:space="preserve">  </w:t>
            </w:r>
            <w:r w:rsidR="003600A2">
              <w:rPr>
                <w:sz w:val="28"/>
                <w:szCs w:val="28"/>
              </w:rPr>
              <w:t>PM –</w:t>
            </w:r>
            <w:r w:rsidR="00EE62C8">
              <w:rPr>
                <w:sz w:val="28"/>
                <w:szCs w:val="28"/>
              </w:rPr>
              <w:t>3</w:t>
            </w:r>
            <w:r w:rsidR="003600A2">
              <w:rPr>
                <w:sz w:val="28"/>
                <w:szCs w:val="28"/>
              </w:rPr>
              <w:t xml:space="preserve"> ($</w:t>
            </w:r>
            <w:r w:rsidR="00EE62C8">
              <w:rPr>
                <w:sz w:val="28"/>
                <w:szCs w:val="28"/>
              </w:rPr>
              <w:t>32.18</w:t>
            </w:r>
            <w:r w:rsidR="003600A2">
              <w:rPr>
                <w:sz w:val="28"/>
                <w:szCs w:val="28"/>
              </w:rPr>
              <w:t xml:space="preserve"> – </w:t>
            </w:r>
            <w:r w:rsidR="00351B2F">
              <w:rPr>
                <w:sz w:val="28"/>
                <w:szCs w:val="28"/>
              </w:rPr>
              <w:t>$</w:t>
            </w:r>
            <w:r w:rsidR="00EE62C8">
              <w:rPr>
                <w:sz w:val="28"/>
                <w:szCs w:val="28"/>
              </w:rPr>
              <w:t>48.27</w:t>
            </w:r>
            <w:r w:rsidR="003600A2">
              <w:rPr>
                <w:sz w:val="28"/>
                <w:szCs w:val="28"/>
              </w:rPr>
              <w:t>/</w:t>
            </w:r>
            <w:r w:rsidR="00D96E21">
              <w:rPr>
                <w:sz w:val="28"/>
                <w:szCs w:val="28"/>
              </w:rPr>
              <w:t>hr.</w:t>
            </w:r>
            <w:r w:rsidR="003600A2">
              <w:rPr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0B22" w:rsidRPr="0058293D" w:rsidRDefault="007B0B22" w:rsidP="007F2A95">
            <w:pPr>
              <w:rPr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FLSA Status:</w:t>
            </w:r>
            <w:r w:rsidR="00983CEC">
              <w:rPr>
                <w:sz w:val="28"/>
                <w:szCs w:val="28"/>
              </w:rPr>
              <w:t xml:space="preserve">  </w:t>
            </w:r>
            <w:r w:rsidRPr="0058293D">
              <w:rPr>
                <w:sz w:val="28"/>
                <w:szCs w:val="28"/>
              </w:rPr>
              <w:t>Exempt</w:t>
            </w:r>
            <w:r w:rsidR="00351B2F">
              <w:rPr>
                <w:sz w:val="28"/>
                <w:szCs w:val="28"/>
              </w:rPr>
              <w:t xml:space="preserve"> </w:t>
            </w:r>
            <w:r w:rsidR="00351B2F" w:rsidRPr="009A437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B0B22" w:rsidRPr="0058293D" w:rsidTr="00900FBE">
        <w:trPr>
          <w:trHeight w:val="530"/>
        </w:trPr>
        <w:tc>
          <w:tcPr>
            <w:tcW w:w="91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B22" w:rsidRPr="0058293D" w:rsidRDefault="007B0B22" w:rsidP="00B40D14">
            <w:pPr>
              <w:rPr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Normal Working Hours:</w:t>
            </w:r>
            <w:r w:rsidRPr="0058293D">
              <w:rPr>
                <w:sz w:val="28"/>
                <w:szCs w:val="28"/>
              </w:rPr>
              <w:t xml:space="preserve"> </w:t>
            </w:r>
            <w:r w:rsidR="0070429F" w:rsidRPr="0058293D">
              <w:rPr>
                <w:sz w:val="28"/>
                <w:szCs w:val="28"/>
              </w:rPr>
              <w:t xml:space="preserve">Monday </w:t>
            </w:r>
            <w:r w:rsidR="00B40D14">
              <w:rPr>
                <w:sz w:val="28"/>
                <w:szCs w:val="28"/>
              </w:rPr>
              <w:t>-</w:t>
            </w:r>
            <w:r w:rsidR="0070429F" w:rsidRPr="0058293D">
              <w:rPr>
                <w:sz w:val="28"/>
                <w:szCs w:val="28"/>
              </w:rPr>
              <w:t xml:space="preserve"> Friday, </w:t>
            </w:r>
            <w:r w:rsidR="00BE26FC" w:rsidRPr="0058293D">
              <w:rPr>
                <w:sz w:val="28"/>
                <w:szCs w:val="28"/>
              </w:rPr>
              <w:t>7</w:t>
            </w:r>
            <w:r w:rsidRPr="0058293D">
              <w:rPr>
                <w:sz w:val="28"/>
                <w:szCs w:val="28"/>
              </w:rPr>
              <w:t xml:space="preserve">:30 A.M. to </w:t>
            </w:r>
            <w:r w:rsidR="00BE26FC" w:rsidRPr="0058293D">
              <w:rPr>
                <w:sz w:val="28"/>
                <w:szCs w:val="28"/>
              </w:rPr>
              <w:t>4</w:t>
            </w:r>
            <w:r w:rsidRPr="0058293D">
              <w:rPr>
                <w:sz w:val="28"/>
                <w:szCs w:val="28"/>
              </w:rPr>
              <w:t>:30 P.M</w:t>
            </w:r>
            <w:r w:rsidR="00D96E21" w:rsidRPr="0058293D">
              <w:rPr>
                <w:sz w:val="28"/>
                <w:szCs w:val="28"/>
              </w:rPr>
              <w:t xml:space="preserve">. </w:t>
            </w:r>
          </w:p>
        </w:tc>
      </w:tr>
    </w:tbl>
    <w:p w:rsidR="004D56A7" w:rsidRPr="0058293D" w:rsidRDefault="004D56A7">
      <w:pPr>
        <w:rPr>
          <w:sz w:val="28"/>
          <w:szCs w:val="28"/>
        </w:rPr>
      </w:pPr>
    </w:p>
    <w:p w:rsidR="00BE26FC" w:rsidRPr="0058293D" w:rsidRDefault="00AD25D6" w:rsidP="00E2674C">
      <w:pPr>
        <w:ind w:left="-540"/>
        <w:jc w:val="both"/>
      </w:pPr>
      <w:r w:rsidRPr="0058293D">
        <w:rPr>
          <w:b/>
          <w:sz w:val="28"/>
          <w:szCs w:val="28"/>
        </w:rPr>
        <w:t>Job Summary:</w:t>
      </w:r>
      <w:r w:rsidRPr="0058293D">
        <w:rPr>
          <w:sz w:val="28"/>
          <w:szCs w:val="28"/>
        </w:rPr>
        <w:t xml:space="preserve"> </w:t>
      </w:r>
      <w:r w:rsidR="00053CEC" w:rsidRPr="0058293D">
        <w:t>Under the general supervision of the</w:t>
      </w:r>
      <w:r w:rsidR="003600A2">
        <w:t xml:space="preserve"> Auditor, is responsible for performing advanced financial accounting </w:t>
      </w:r>
      <w:r w:rsidR="00EE62C8">
        <w:t xml:space="preserve">and internal audit </w:t>
      </w:r>
      <w:r w:rsidR="003600A2">
        <w:t>work and related duties as required</w:t>
      </w:r>
      <w:r w:rsidR="00D96E21">
        <w:t xml:space="preserve">. </w:t>
      </w:r>
      <w:r w:rsidR="003600A2">
        <w:t>This is an advance</w:t>
      </w:r>
      <w:r w:rsidR="00256D23">
        <w:t>d</w:t>
      </w:r>
      <w:r w:rsidR="003600A2">
        <w:t xml:space="preserve"> professional accounting position with emphasis on </w:t>
      </w:r>
      <w:r w:rsidR="00EE62C8">
        <w:t>internal auditing</w:t>
      </w:r>
      <w:r w:rsidR="00DF6A4B">
        <w:t>,</w:t>
      </w:r>
      <w:r w:rsidR="00EE62C8">
        <w:t xml:space="preserve"> </w:t>
      </w:r>
      <w:r w:rsidR="003600A2">
        <w:t>capital asset management</w:t>
      </w:r>
      <w:r w:rsidR="00DF6A4B">
        <w:t xml:space="preserve"> and the Annual Comprehensive Financial Report (ACFR) preparation</w:t>
      </w:r>
      <w:r w:rsidR="003600A2">
        <w:t>.</w:t>
      </w:r>
    </w:p>
    <w:p w:rsidR="00053CEC" w:rsidRPr="0058293D" w:rsidRDefault="00053CEC" w:rsidP="00E2674C">
      <w:pPr>
        <w:ind w:left="-540"/>
        <w:jc w:val="both"/>
        <w:rPr>
          <w:sz w:val="28"/>
          <w:szCs w:val="28"/>
        </w:rPr>
      </w:pPr>
    </w:p>
    <w:p w:rsidR="00E2674C" w:rsidRPr="0058293D" w:rsidRDefault="00E2674C" w:rsidP="003B325F">
      <w:pPr>
        <w:ind w:left="-540"/>
        <w:rPr>
          <w:sz w:val="28"/>
          <w:szCs w:val="28"/>
        </w:rPr>
      </w:pPr>
      <w:r w:rsidRPr="0058293D">
        <w:rPr>
          <w:b/>
          <w:sz w:val="28"/>
          <w:szCs w:val="28"/>
        </w:rPr>
        <w:t xml:space="preserve">Essential Duties and Responsibilities:  </w:t>
      </w:r>
    </w:p>
    <w:p w:rsidR="00E2674C" w:rsidRDefault="00E2674C" w:rsidP="00C75314">
      <w:pPr>
        <w:ind w:left="-540"/>
        <w:rPr>
          <w:sz w:val="26"/>
          <w:szCs w:val="26"/>
        </w:rPr>
      </w:pPr>
    </w:p>
    <w:p w:rsidR="00556ED3" w:rsidRPr="00DF6A4B" w:rsidRDefault="00556ED3" w:rsidP="00C75314">
      <w:pPr>
        <w:ind w:left="-540"/>
        <w:rPr>
          <w:u w:val="single"/>
        </w:rPr>
      </w:pPr>
      <w:r w:rsidRPr="00DF6A4B">
        <w:rPr>
          <w:u w:val="single"/>
        </w:rPr>
        <w:t>Internal Audit</w:t>
      </w:r>
    </w:p>
    <w:p w:rsidR="00092143" w:rsidRDefault="00556ED3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 xml:space="preserve">Responsible for contributing </w:t>
      </w:r>
      <w:r w:rsidR="00092143">
        <w:t>to the design, development and implementation of customized audit processes, procedures and methodologies</w:t>
      </w:r>
    </w:p>
    <w:p w:rsidR="00092143" w:rsidRDefault="00092143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>Perform internal control and performance audits to ensure controls are protecting the assets of the City</w:t>
      </w:r>
    </w:p>
    <w:p w:rsidR="00556ED3" w:rsidRDefault="00BF051A" w:rsidP="00DF6A4B">
      <w:pPr>
        <w:numPr>
          <w:ilvl w:val="0"/>
          <w:numId w:val="1"/>
        </w:numPr>
        <w:tabs>
          <w:tab w:val="clear" w:pos="180"/>
        </w:tabs>
        <w:ind w:left="0" w:hanging="540"/>
        <w:jc w:val="both"/>
      </w:pPr>
      <w:r>
        <w:t>Summarize and develop audit engagement conclusions with recommendations to ensure government services are provided effectively, efficiently, economically, ethically and equitably</w:t>
      </w:r>
    </w:p>
    <w:p w:rsidR="00BF051A" w:rsidRDefault="00BF051A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>Assist with implementing audit tools to improve audit efficiencies and create, revise and document Internal Audit policies and procedure</w:t>
      </w:r>
      <w:r w:rsidR="000D6BA1">
        <w:t>s</w:t>
      </w:r>
      <w:r>
        <w:t>, including defining internal controls and risk areas</w:t>
      </w:r>
    </w:p>
    <w:p w:rsidR="001D3F06" w:rsidRDefault="001D3F06" w:rsidP="00DF6A4B">
      <w:pPr>
        <w:ind w:left="-540"/>
        <w:jc w:val="both"/>
        <w:rPr>
          <w:u w:val="single"/>
        </w:rPr>
      </w:pPr>
    </w:p>
    <w:p w:rsidR="001D3F06" w:rsidRPr="001D3F06" w:rsidRDefault="001D3F06" w:rsidP="00DF6A4B">
      <w:pPr>
        <w:ind w:left="-540"/>
        <w:jc w:val="both"/>
        <w:rPr>
          <w:u w:val="single"/>
        </w:rPr>
      </w:pPr>
      <w:r w:rsidRPr="001D3F06">
        <w:rPr>
          <w:u w:val="single"/>
        </w:rPr>
        <w:t>Accountant</w:t>
      </w:r>
    </w:p>
    <w:p w:rsidR="003600A2" w:rsidRDefault="003600A2" w:rsidP="002D4337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 xml:space="preserve">Monitor </w:t>
      </w:r>
      <w:r w:rsidR="009458D1">
        <w:t xml:space="preserve">and implement new </w:t>
      </w:r>
      <w:r>
        <w:t xml:space="preserve">Governmental Accounting </w:t>
      </w:r>
      <w:r w:rsidR="0098053B">
        <w:t xml:space="preserve">Standards </w:t>
      </w:r>
      <w:r>
        <w:t>Board</w:t>
      </w:r>
      <w:r w:rsidR="0098053B">
        <w:t xml:space="preserve"> s</w:t>
      </w:r>
      <w:r>
        <w:t>t</w:t>
      </w:r>
      <w:r w:rsidR="0098053B">
        <w:t xml:space="preserve">atements </w:t>
      </w:r>
      <w:r w:rsidR="002D4337">
        <w:t>(GASB’s)</w:t>
      </w:r>
    </w:p>
    <w:p w:rsidR="00C75314" w:rsidRPr="0058293D" w:rsidRDefault="0098053B" w:rsidP="00DF6A4B">
      <w:pPr>
        <w:numPr>
          <w:ilvl w:val="0"/>
          <w:numId w:val="1"/>
        </w:numPr>
        <w:tabs>
          <w:tab w:val="clear" w:pos="180"/>
          <w:tab w:val="num" w:pos="-540"/>
        </w:tabs>
        <w:ind w:left="-540" w:firstLine="0"/>
        <w:jc w:val="both"/>
      </w:pPr>
      <w:r>
        <w:t>Tracking and reporting of the City’s capital assets</w:t>
      </w:r>
      <w:r w:rsidR="009458D1">
        <w:t xml:space="preserve"> in accordance with GAAP</w:t>
      </w:r>
    </w:p>
    <w:p w:rsidR="00C75314" w:rsidRDefault="003C767C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>Prepare and maintain</w:t>
      </w:r>
      <w:r w:rsidR="0098053B">
        <w:t xml:space="preserve"> work papers related to reporting capital assets for the A</w:t>
      </w:r>
      <w:r w:rsidR="00556ED3">
        <w:t>C</w:t>
      </w:r>
      <w:r w:rsidR="0098053B">
        <w:t>FR</w:t>
      </w:r>
      <w:r w:rsidR="009458D1">
        <w:t xml:space="preserve"> and other work papers as requested</w:t>
      </w:r>
    </w:p>
    <w:p w:rsidR="0098053B" w:rsidRDefault="003C767C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lastRenderedPageBreak/>
        <w:t>Assist</w:t>
      </w:r>
      <w:r w:rsidR="0098053B">
        <w:t xml:space="preserve"> in the financial au</w:t>
      </w:r>
      <w:r>
        <w:t>dit of the City’s capital assets</w:t>
      </w:r>
      <w:r w:rsidR="009458D1">
        <w:t xml:space="preserve"> and other areas as requested</w:t>
      </w:r>
    </w:p>
    <w:p w:rsidR="000327AB" w:rsidRDefault="003C767C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>Perform</w:t>
      </w:r>
      <w:r w:rsidR="0098053B">
        <w:t xml:space="preserve"> internal auditing of capital assets on a periodic basis</w:t>
      </w:r>
    </w:p>
    <w:p w:rsidR="000327AB" w:rsidRDefault="00862CD5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>Review and a</w:t>
      </w:r>
      <w:r w:rsidR="003C767C">
        <w:t>ssist</w:t>
      </w:r>
      <w:r w:rsidR="0098053B">
        <w:t xml:space="preserve"> departments with annual budgeting for capital</w:t>
      </w:r>
      <w:r w:rsidR="00256139">
        <w:t xml:space="preserve"> including providing reports as needed</w:t>
      </w:r>
    </w:p>
    <w:p w:rsidR="009458D1" w:rsidRDefault="009458D1" w:rsidP="00DF6A4B">
      <w:pPr>
        <w:numPr>
          <w:ilvl w:val="0"/>
          <w:numId w:val="1"/>
        </w:numPr>
        <w:tabs>
          <w:tab w:val="clear" w:pos="180"/>
          <w:tab w:val="num" w:pos="0"/>
        </w:tabs>
        <w:ind w:left="0" w:hanging="540"/>
        <w:jc w:val="both"/>
      </w:pPr>
      <w:r>
        <w:t xml:space="preserve">Assist with journal entries, notes, GAAP statements and </w:t>
      </w:r>
      <w:r w:rsidR="00862CD5">
        <w:t>compiling</w:t>
      </w:r>
      <w:r w:rsidR="002D4337">
        <w:t xml:space="preserve"> A</w:t>
      </w:r>
      <w:r>
        <w:t>CFR in software</w:t>
      </w:r>
    </w:p>
    <w:p w:rsidR="00851288" w:rsidRPr="0058293D" w:rsidRDefault="00256D23" w:rsidP="00DF6A4B">
      <w:pPr>
        <w:numPr>
          <w:ilvl w:val="0"/>
          <w:numId w:val="1"/>
        </w:numPr>
        <w:tabs>
          <w:tab w:val="clear" w:pos="180"/>
          <w:tab w:val="num" w:pos="-540"/>
        </w:tabs>
        <w:ind w:left="-540" w:firstLine="0"/>
        <w:jc w:val="both"/>
      </w:pPr>
      <w:r>
        <w:t xml:space="preserve">Other duties/responsibilities </w:t>
      </w:r>
      <w:r w:rsidR="003C767C">
        <w:t>as assigned</w:t>
      </w:r>
    </w:p>
    <w:p w:rsidR="00DE502F" w:rsidRPr="0058293D" w:rsidRDefault="00DE502F" w:rsidP="003B325F">
      <w:pPr>
        <w:ind w:left="-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E502F" w:rsidRPr="0058293D" w:rsidTr="00900FBE">
        <w:trPr>
          <w:trHeight w:val="2150"/>
        </w:trPr>
        <w:tc>
          <w:tcPr>
            <w:tcW w:w="4428" w:type="dxa"/>
            <w:shd w:val="clear" w:color="auto" w:fill="auto"/>
          </w:tcPr>
          <w:p w:rsidR="00DE502F" w:rsidRPr="0058293D" w:rsidRDefault="00DE502F" w:rsidP="00900FBE">
            <w:pPr>
              <w:jc w:val="center"/>
              <w:rPr>
                <w:b/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Knowledge of:</w:t>
            </w:r>
          </w:p>
          <w:p w:rsidR="00DE502F" w:rsidRPr="0058293D" w:rsidRDefault="00DE502F" w:rsidP="003B325F"/>
          <w:p w:rsidR="00A20F00" w:rsidRPr="00A20F00" w:rsidRDefault="00A20F00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>Knowledge of Generally Accepted Accounting Principles (GAAP)</w:t>
            </w:r>
          </w:p>
          <w:p w:rsidR="00DE502F" w:rsidRPr="00256139" w:rsidRDefault="00A20F00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 xml:space="preserve">Knowledge of governmental accounting </w:t>
            </w:r>
            <w:r w:rsidR="003600A2">
              <w:t>standards (GASB)</w:t>
            </w:r>
          </w:p>
          <w:p w:rsidR="00256139" w:rsidRPr="009A2D64" w:rsidRDefault="004557E9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57E9">
              <w:t>Knowledge of government</w:t>
            </w:r>
            <w:r>
              <w:t xml:space="preserve"> </w:t>
            </w:r>
            <w:r w:rsidRPr="004557E9">
              <w:t>auditing standards (GAGAS)</w:t>
            </w:r>
          </w:p>
          <w:p w:rsidR="009A2D64" w:rsidRPr="00A83935" w:rsidRDefault="009A2D64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>Working knowledge of budgetary, accounting and reporting systems</w:t>
            </w:r>
          </w:p>
          <w:p w:rsidR="00E36C36" w:rsidRPr="003957D4" w:rsidRDefault="00E36C36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>Working knowledge of fieldwork requirements for performance audits</w:t>
            </w:r>
          </w:p>
          <w:p w:rsidR="003957D4" w:rsidRPr="00862CD5" w:rsidRDefault="00862CD5" w:rsidP="002B000F">
            <w:pPr>
              <w:numPr>
                <w:ilvl w:val="0"/>
                <w:numId w:val="5"/>
              </w:numPr>
            </w:pPr>
            <w:r w:rsidRPr="00862CD5">
              <w:t>Working knowledge of internal control framework</w:t>
            </w:r>
          </w:p>
          <w:p w:rsidR="003957D4" w:rsidRPr="00E36C36" w:rsidRDefault="003957D4" w:rsidP="002B000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 xml:space="preserve">Working knowledge of </w:t>
            </w:r>
            <w:r w:rsidR="00312F8E">
              <w:t>data a</w:t>
            </w:r>
            <w:r>
              <w:t>naly</w:t>
            </w:r>
            <w:r w:rsidR="00312F8E">
              <w:t>tics</w:t>
            </w:r>
            <w:r>
              <w:t xml:space="preserve"> techniques</w:t>
            </w:r>
          </w:p>
          <w:p w:rsidR="00E36C36" w:rsidRPr="00E36C36" w:rsidRDefault="00E36C36" w:rsidP="002B000F">
            <w:pPr>
              <w:numPr>
                <w:ilvl w:val="0"/>
                <w:numId w:val="5"/>
              </w:numPr>
            </w:pPr>
            <w:r w:rsidRPr="00E36C36">
              <w:t>Working knowledge of risk management</w:t>
            </w:r>
          </w:p>
          <w:p w:rsidR="00203961" w:rsidRPr="0058293D" w:rsidRDefault="00145740" w:rsidP="00300166">
            <w:pPr>
              <w:rPr>
                <w:sz w:val="28"/>
                <w:szCs w:val="28"/>
              </w:rPr>
            </w:pPr>
            <w:r w:rsidRPr="0058293D"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DE502F" w:rsidRPr="0058293D" w:rsidRDefault="00DE502F" w:rsidP="00900FBE">
            <w:pPr>
              <w:jc w:val="center"/>
              <w:rPr>
                <w:b/>
                <w:sz w:val="28"/>
                <w:szCs w:val="28"/>
              </w:rPr>
            </w:pPr>
            <w:r w:rsidRPr="0058293D">
              <w:rPr>
                <w:b/>
                <w:sz w:val="28"/>
                <w:szCs w:val="28"/>
              </w:rPr>
              <w:t>Skills and Abilities to:</w:t>
            </w:r>
          </w:p>
          <w:p w:rsidR="00DE502F" w:rsidRPr="0058293D" w:rsidRDefault="00DE502F" w:rsidP="003B325F"/>
          <w:p w:rsidR="009A2D64" w:rsidRPr="00E03478" w:rsidRDefault="00E03478" w:rsidP="004D5CC2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ind w:right="3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Ability to work independently or in a team</w:t>
            </w:r>
          </w:p>
          <w:p w:rsidR="00E03478" w:rsidRPr="0058293D" w:rsidRDefault="00E03478" w:rsidP="004D5CC2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ind w:right="3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Excellent verbal, analytical, problem-solving and critical-thinking skills</w:t>
            </w:r>
          </w:p>
          <w:p w:rsidR="004D5CC2" w:rsidRPr="0058293D" w:rsidRDefault="004D5CC2" w:rsidP="004D5CC2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spacing w:before="1"/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293D">
              <w:rPr>
                <w:rFonts w:ascii="Times New Roman"/>
                <w:sz w:val="24"/>
              </w:rPr>
              <w:t>Ability to read and understand</w:t>
            </w:r>
            <w:r w:rsidRPr="0058293D">
              <w:rPr>
                <w:rFonts w:ascii="Times New Roman"/>
                <w:spacing w:val="-1"/>
                <w:sz w:val="24"/>
              </w:rPr>
              <w:t xml:space="preserve"> </w:t>
            </w:r>
            <w:r w:rsidRPr="0058293D">
              <w:rPr>
                <w:rFonts w:ascii="Times New Roman"/>
                <w:sz w:val="24"/>
              </w:rPr>
              <w:t>City</w:t>
            </w:r>
            <w:r w:rsidRPr="0058293D">
              <w:rPr>
                <w:rFonts w:ascii="Times New Roman"/>
                <w:w w:val="99"/>
                <w:sz w:val="24"/>
              </w:rPr>
              <w:t xml:space="preserve"> </w:t>
            </w:r>
            <w:r w:rsidRPr="0058293D">
              <w:rPr>
                <w:rFonts w:ascii="Times New Roman"/>
                <w:sz w:val="24"/>
              </w:rPr>
              <w:t>ordinances and</w:t>
            </w:r>
            <w:r w:rsidRPr="0058293D">
              <w:rPr>
                <w:rFonts w:ascii="Times New Roman"/>
                <w:spacing w:val="-1"/>
                <w:sz w:val="24"/>
              </w:rPr>
              <w:t xml:space="preserve"> </w:t>
            </w:r>
            <w:r w:rsidRPr="0058293D">
              <w:rPr>
                <w:rFonts w:ascii="Times New Roman"/>
                <w:sz w:val="24"/>
              </w:rPr>
              <w:t>policies</w:t>
            </w:r>
          </w:p>
          <w:p w:rsidR="00DE502F" w:rsidRPr="005C7FCE" w:rsidRDefault="004D5CC2" w:rsidP="00C75314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spacing w:before="1"/>
              <w:ind w:right="624"/>
              <w:rPr>
                <w:sz w:val="28"/>
                <w:szCs w:val="28"/>
              </w:rPr>
            </w:pPr>
            <w:r w:rsidRPr="0058293D">
              <w:rPr>
                <w:rFonts w:ascii="Times New Roman"/>
                <w:sz w:val="24"/>
              </w:rPr>
              <w:t>Ability to develop and maintain effective working relationships</w:t>
            </w:r>
            <w:r w:rsidR="00E03478">
              <w:rPr>
                <w:rFonts w:ascii="Times New Roman"/>
                <w:sz w:val="24"/>
              </w:rPr>
              <w:t xml:space="preserve"> </w:t>
            </w:r>
            <w:r w:rsidRPr="0058293D">
              <w:rPr>
                <w:rFonts w:ascii="Times New Roman"/>
                <w:sz w:val="24"/>
              </w:rPr>
              <w:t>with coworkers, department heads and supervisors</w:t>
            </w:r>
            <w:bookmarkStart w:id="0" w:name="_GoBack"/>
            <w:bookmarkEnd w:id="0"/>
          </w:p>
          <w:p w:rsidR="005C7FCE" w:rsidRDefault="00256139" w:rsidP="00C75314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spacing w:before="1"/>
              <w:ind w:right="624"/>
              <w:rPr>
                <w:rFonts w:ascii="Times New Roman" w:hAnsi="Times New Roman"/>
                <w:sz w:val="24"/>
                <w:szCs w:val="24"/>
              </w:rPr>
            </w:pPr>
            <w:r w:rsidRPr="00256139">
              <w:rPr>
                <w:rFonts w:ascii="Times New Roman" w:hAnsi="Times New Roman"/>
                <w:sz w:val="24"/>
                <w:szCs w:val="24"/>
              </w:rPr>
              <w:t>Ability to demonstrate due professional care to achieve engagement objectives</w:t>
            </w:r>
          </w:p>
          <w:p w:rsidR="004557E9" w:rsidRPr="00256139" w:rsidRDefault="003957D4" w:rsidP="003957D4">
            <w:pPr>
              <w:pStyle w:val="ListParagraph"/>
              <w:numPr>
                <w:ilvl w:val="0"/>
                <w:numId w:val="5"/>
              </w:numPr>
              <w:tabs>
                <w:tab w:val="left" w:pos="936"/>
              </w:tabs>
              <w:spacing w:before="1"/>
              <w:ind w:right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Attention to detail and accuracy</w:t>
            </w:r>
          </w:p>
        </w:tc>
      </w:tr>
    </w:tbl>
    <w:p w:rsidR="00DE502F" w:rsidRPr="0058293D" w:rsidRDefault="00DE502F" w:rsidP="003B325F">
      <w:pPr>
        <w:ind w:left="-540"/>
        <w:rPr>
          <w:sz w:val="28"/>
          <w:szCs w:val="28"/>
        </w:rPr>
      </w:pPr>
    </w:p>
    <w:p w:rsidR="004A33D5" w:rsidRPr="0058293D" w:rsidRDefault="004A33D5" w:rsidP="003B325F">
      <w:pPr>
        <w:ind w:left="-540"/>
        <w:rPr>
          <w:b/>
          <w:sz w:val="28"/>
          <w:szCs w:val="28"/>
        </w:rPr>
      </w:pPr>
      <w:r w:rsidRPr="0058293D">
        <w:rPr>
          <w:b/>
          <w:sz w:val="28"/>
          <w:szCs w:val="28"/>
        </w:rPr>
        <w:t>Minim</w:t>
      </w:r>
      <w:r w:rsidR="0070429F" w:rsidRPr="0058293D">
        <w:rPr>
          <w:b/>
          <w:sz w:val="28"/>
          <w:szCs w:val="28"/>
        </w:rPr>
        <w:t>um</w:t>
      </w:r>
      <w:r w:rsidRPr="0058293D">
        <w:rPr>
          <w:b/>
          <w:sz w:val="28"/>
          <w:szCs w:val="28"/>
        </w:rPr>
        <w:t xml:space="preserve"> Qualifications for Employment:</w:t>
      </w:r>
    </w:p>
    <w:p w:rsidR="0070429F" w:rsidRPr="0058293D" w:rsidRDefault="0070429F" w:rsidP="003B325F">
      <w:pPr>
        <w:ind w:left="-540"/>
        <w:rPr>
          <w:sz w:val="28"/>
          <w:szCs w:val="28"/>
        </w:rPr>
      </w:pPr>
    </w:p>
    <w:p w:rsidR="00A83935" w:rsidRDefault="009A437F" w:rsidP="00DF6A4B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Bache</w:t>
      </w:r>
      <w:r w:rsidR="003C767C">
        <w:rPr>
          <w:rFonts w:cs="Arial"/>
        </w:rPr>
        <w:t>lor’s d</w:t>
      </w:r>
      <w:r w:rsidR="009A2D64">
        <w:rPr>
          <w:rFonts w:cs="Arial"/>
        </w:rPr>
        <w:t>egree from an accredit</w:t>
      </w:r>
      <w:r>
        <w:rPr>
          <w:rFonts w:cs="Arial"/>
        </w:rPr>
        <w:t xml:space="preserve">ed four year college/university </w:t>
      </w:r>
      <w:r w:rsidR="009A2D64">
        <w:rPr>
          <w:rFonts w:cs="Arial"/>
        </w:rPr>
        <w:t xml:space="preserve">with a </w:t>
      </w:r>
      <w:r>
        <w:rPr>
          <w:rFonts w:cs="Arial"/>
        </w:rPr>
        <w:t>major</w:t>
      </w:r>
      <w:r w:rsidR="009A2D64">
        <w:rPr>
          <w:rFonts w:cs="Arial"/>
        </w:rPr>
        <w:t xml:space="preserve"> in accounting (preferred), finance and/or public administra</w:t>
      </w:r>
      <w:r>
        <w:rPr>
          <w:rFonts w:cs="Arial"/>
        </w:rPr>
        <w:t>tion or closely related field</w:t>
      </w:r>
    </w:p>
    <w:p w:rsidR="00145740" w:rsidRPr="00B40D14" w:rsidRDefault="007A1CD1" w:rsidP="00DF6A4B">
      <w:pPr>
        <w:numPr>
          <w:ilvl w:val="0"/>
          <w:numId w:val="9"/>
        </w:numPr>
        <w:jc w:val="both"/>
        <w:rPr>
          <w:rFonts w:cs="Arial"/>
        </w:rPr>
      </w:pPr>
      <w:r w:rsidRPr="00B40D14">
        <w:rPr>
          <w:rFonts w:cs="Arial"/>
        </w:rPr>
        <w:t>Considerable training</w:t>
      </w:r>
      <w:r w:rsidR="00A83935" w:rsidRPr="00B40D14">
        <w:rPr>
          <w:rFonts w:cs="Arial"/>
        </w:rPr>
        <w:t xml:space="preserve">/experience using </w:t>
      </w:r>
      <w:r w:rsidR="00A83935" w:rsidRPr="0058293D">
        <w:t>Microsoft</w:t>
      </w:r>
      <w:r w:rsidR="00A83935" w:rsidRPr="00B40D14">
        <w:rPr>
          <w:spacing w:val="-1"/>
        </w:rPr>
        <w:t xml:space="preserve"> </w:t>
      </w:r>
      <w:r w:rsidR="00A83935" w:rsidRPr="0058293D">
        <w:t>Office</w:t>
      </w:r>
      <w:r w:rsidR="00A83935" w:rsidRPr="00B40D14">
        <w:rPr>
          <w:w w:val="99"/>
        </w:rPr>
        <w:t xml:space="preserve"> </w:t>
      </w:r>
      <w:r w:rsidR="00A83935" w:rsidRPr="0058293D">
        <w:t>software</w:t>
      </w:r>
      <w:r w:rsidR="00B40D14">
        <w:t>; Word and Excel</w:t>
      </w:r>
      <w:r w:rsidR="00862CD5">
        <w:t xml:space="preserve"> and Adobe Acrobat</w:t>
      </w:r>
    </w:p>
    <w:p w:rsidR="00A83935" w:rsidRPr="00B40D14" w:rsidRDefault="00A83935" w:rsidP="00DF6A4B">
      <w:pPr>
        <w:numPr>
          <w:ilvl w:val="0"/>
          <w:numId w:val="9"/>
        </w:numPr>
        <w:jc w:val="both"/>
        <w:rPr>
          <w:rFonts w:cs="Arial"/>
        </w:rPr>
      </w:pPr>
      <w:r w:rsidRPr="0058293D">
        <w:t>Possess and maintain a valid State of Ohio motor vehicle operator’s license and</w:t>
      </w:r>
      <w:r w:rsidRPr="00B40D14">
        <w:rPr>
          <w:spacing w:val="-1"/>
        </w:rPr>
        <w:t xml:space="preserve"> </w:t>
      </w:r>
      <w:r w:rsidRPr="0058293D">
        <w:t>to</w:t>
      </w:r>
      <w:r w:rsidRPr="00B40D14">
        <w:rPr>
          <w:w w:val="99"/>
        </w:rPr>
        <w:t xml:space="preserve"> </w:t>
      </w:r>
      <w:r w:rsidRPr="0058293D">
        <w:t>maintain insurability with the City’s general liability</w:t>
      </w:r>
      <w:r w:rsidRPr="00B40D14">
        <w:rPr>
          <w:spacing w:val="-1"/>
        </w:rPr>
        <w:t xml:space="preserve"> </w:t>
      </w:r>
      <w:r w:rsidR="009A437F">
        <w:t>policy</w:t>
      </w:r>
    </w:p>
    <w:p w:rsidR="007A1CD1" w:rsidRPr="0058293D" w:rsidRDefault="007A1CD1" w:rsidP="00DF6A4B">
      <w:pPr>
        <w:ind w:left="-540"/>
        <w:jc w:val="both"/>
        <w:rPr>
          <w:rFonts w:cs="Arial"/>
          <w:sz w:val="26"/>
          <w:szCs w:val="26"/>
        </w:rPr>
      </w:pPr>
    </w:p>
    <w:p w:rsidR="004D5CC2" w:rsidRPr="0058293D" w:rsidRDefault="004D5CC2" w:rsidP="00DF6A4B">
      <w:pPr>
        <w:ind w:left="-540"/>
        <w:jc w:val="both"/>
        <w:rPr>
          <w:b/>
          <w:sz w:val="28"/>
          <w:szCs w:val="28"/>
        </w:rPr>
      </w:pPr>
      <w:r w:rsidRPr="0058293D">
        <w:rPr>
          <w:b/>
          <w:sz w:val="28"/>
          <w:szCs w:val="28"/>
        </w:rPr>
        <w:t>Preferred Qualifications for Employment:</w:t>
      </w:r>
    </w:p>
    <w:p w:rsidR="004D5CC2" w:rsidRPr="0058293D" w:rsidRDefault="004D5CC2" w:rsidP="00DF6A4B">
      <w:pPr>
        <w:ind w:left="-540"/>
        <w:jc w:val="both"/>
        <w:rPr>
          <w:rFonts w:cs="Arial"/>
          <w:sz w:val="26"/>
          <w:szCs w:val="26"/>
        </w:rPr>
      </w:pPr>
    </w:p>
    <w:p w:rsidR="004D5CC2" w:rsidRPr="00556ED3" w:rsidRDefault="00556ED3" w:rsidP="00DF6A4B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Five to seven</w:t>
      </w:r>
      <w:r w:rsidR="00A83935" w:rsidRPr="00556ED3">
        <w:rPr>
          <w:rFonts w:cs="Arial"/>
        </w:rPr>
        <w:t xml:space="preserve"> years of </w:t>
      </w:r>
      <w:r w:rsidR="009A437F" w:rsidRPr="00556ED3">
        <w:rPr>
          <w:rFonts w:cs="Arial"/>
        </w:rPr>
        <w:t>experience in the public sector/governmental accounting</w:t>
      </w:r>
    </w:p>
    <w:p w:rsidR="00556ED3" w:rsidRPr="00556ED3" w:rsidRDefault="00556ED3" w:rsidP="00DF6A4B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Three to five years of audit experience</w:t>
      </w:r>
    </w:p>
    <w:p w:rsidR="00A83935" w:rsidRPr="00556ED3" w:rsidRDefault="00A83935" w:rsidP="00DF6A4B">
      <w:pPr>
        <w:numPr>
          <w:ilvl w:val="0"/>
          <w:numId w:val="9"/>
        </w:numPr>
        <w:jc w:val="both"/>
        <w:rPr>
          <w:rFonts w:cs="Arial"/>
        </w:rPr>
      </w:pPr>
      <w:r w:rsidRPr="00556ED3">
        <w:rPr>
          <w:rFonts w:cs="Arial"/>
        </w:rPr>
        <w:t>Year</w:t>
      </w:r>
      <w:r w:rsidR="009A437F" w:rsidRPr="00556ED3">
        <w:rPr>
          <w:rFonts w:cs="Arial"/>
        </w:rPr>
        <w:t>-end GAAP conversion experience</w:t>
      </w:r>
    </w:p>
    <w:p w:rsidR="009A437F" w:rsidRPr="00556ED3" w:rsidRDefault="00556ED3" w:rsidP="00DF6A4B">
      <w:pPr>
        <w:numPr>
          <w:ilvl w:val="0"/>
          <w:numId w:val="9"/>
        </w:numPr>
        <w:jc w:val="both"/>
        <w:rPr>
          <w:rFonts w:cs="Arial"/>
        </w:rPr>
      </w:pPr>
      <w:r w:rsidRPr="00556ED3">
        <w:rPr>
          <w:rFonts w:cs="Arial"/>
        </w:rPr>
        <w:t>Capital asset management experience</w:t>
      </w:r>
    </w:p>
    <w:sectPr w:rsidR="009A437F" w:rsidRPr="00556ED3" w:rsidSect="009A437F">
      <w:headerReference w:type="default" r:id="rId8"/>
      <w:pgSz w:w="12240" w:h="15840"/>
      <w:pgMar w:top="1440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14" w:rsidRDefault="00FB7B14">
      <w:r>
        <w:separator/>
      </w:r>
    </w:p>
  </w:endnote>
  <w:endnote w:type="continuationSeparator" w:id="0">
    <w:p w:rsidR="00FB7B14" w:rsidRDefault="00FB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14" w:rsidRDefault="00FB7B14">
      <w:r>
        <w:separator/>
      </w:r>
    </w:p>
  </w:footnote>
  <w:footnote w:type="continuationSeparator" w:id="0">
    <w:p w:rsidR="00FB7B14" w:rsidRDefault="00FB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A" w:rsidRDefault="00FB036A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592C2B">
      <w:rPr>
        <w:noProof/>
      </w:rPr>
      <w:t>8/13/2024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59B"/>
    <w:multiLevelType w:val="hybridMultilevel"/>
    <w:tmpl w:val="B31A9D8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68C071F"/>
    <w:multiLevelType w:val="hybridMultilevel"/>
    <w:tmpl w:val="D4B00ACE"/>
    <w:lvl w:ilvl="0" w:tplc="CB981CB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ADA08F6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w w:val="99"/>
      </w:rPr>
    </w:lvl>
    <w:lvl w:ilvl="2" w:tplc="087239F8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3" w:tplc="2F3C7EE4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4" w:tplc="7C2622E2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5" w:tplc="A0009F92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6" w:tplc="4A9A4E6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7" w:tplc="B2AA977E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8" w:tplc="6C2C3A94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</w:abstractNum>
  <w:abstractNum w:abstractNumId="2">
    <w:nsid w:val="26AA791D"/>
    <w:multiLevelType w:val="hybridMultilevel"/>
    <w:tmpl w:val="FB02078A"/>
    <w:lvl w:ilvl="0" w:tplc="B994E2AA">
      <w:start w:val="1"/>
      <w:numFmt w:val="bullet"/>
      <w:lvlText w:val=""/>
      <w:lvlJc w:val="left"/>
      <w:pPr>
        <w:ind w:left="93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E4C49F8">
      <w:start w:val="1"/>
      <w:numFmt w:val="bullet"/>
      <w:lvlText w:val="•"/>
      <w:lvlJc w:val="left"/>
      <w:pPr>
        <w:ind w:left="1310" w:hanging="360"/>
      </w:pPr>
      <w:rPr>
        <w:rFonts w:hint="default"/>
      </w:rPr>
    </w:lvl>
    <w:lvl w:ilvl="2" w:tplc="45DCA004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67AEE860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3A2CF8E6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4B3A40C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F8AC9C64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39886660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8" w:tplc="C9763234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</w:abstractNum>
  <w:abstractNum w:abstractNumId="3">
    <w:nsid w:val="41A76E91"/>
    <w:multiLevelType w:val="hybridMultilevel"/>
    <w:tmpl w:val="F0FA5A24"/>
    <w:lvl w:ilvl="0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50F91EC5"/>
    <w:multiLevelType w:val="hybridMultilevel"/>
    <w:tmpl w:val="EF02B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70D13"/>
    <w:multiLevelType w:val="hybridMultilevel"/>
    <w:tmpl w:val="9E605B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5C417132"/>
    <w:multiLevelType w:val="multilevel"/>
    <w:tmpl w:val="EF0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218B7"/>
    <w:multiLevelType w:val="hybridMultilevel"/>
    <w:tmpl w:val="B39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F2F4C"/>
    <w:multiLevelType w:val="hybridMultilevel"/>
    <w:tmpl w:val="4D7A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921C0"/>
    <w:multiLevelType w:val="hybridMultilevel"/>
    <w:tmpl w:val="F1E0E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7"/>
    <w:rsid w:val="000327AB"/>
    <w:rsid w:val="0003669A"/>
    <w:rsid w:val="00053CEC"/>
    <w:rsid w:val="00092143"/>
    <w:rsid w:val="000C50C5"/>
    <w:rsid w:val="000D6BA1"/>
    <w:rsid w:val="00145740"/>
    <w:rsid w:val="001D3F06"/>
    <w:rsid w:val="001E1E85"/>
    <w:rsid w:val="001F04A8"/>
    <w:rsid w:val="001F0BB9"/>
    <w:rsid w:val="00203961"/>
    <w:rsid w:val="00204B20"/>
    <w:rsid w:val="00244924"/>
    <w:rsid w:val="00256139"/>
    <w:rsid w:val="00256D23"/>
    <w:rsid w:val="002B000F"/>
    <w:rsid w:val="002D4337"/>
    <w:rsid w:val="00300166"/>
    <w:rsid w:val="00312F8E"/>
    <w:rsid w:val="0033684F"/>
    <w:rsid w:val="00351B2F"/>
    <w:rsid w:val="003600A2"/>
    <w:rsid w:val="00360681"/>
    <w:rsid w:val="00366157"/>
    <w:rsid w:val="00383433"/>
    <w:rsid w:val="003957D4"/>
    <w:rsid w:val="003A6823"/>
    <w:rsid w:val="003B325F"/>
    <w:rsid w:val="003C767C"/>
    <w:rsid w:val="003E4C58"/>
    <w:rsid w:val="00405269"/>
    <w:rsid w:val="00416097"/>
    <w:rsid w:val="004557E9"/>
    <w:rsid w:val="004A08C1"/>
    <w:rsid w:val="004A33D5"/>
    <w:rsid w:val="004B1095"/>
    <w:rsid w:val="004D56A7"/>
    <w:rsid w:val="004D5CC2"/>
    <w:rsid w:val="0054556B"/>
    <w:rsid w:val="00556ED3"/>
    <w:rsid w:val="005740F9"/>
    <w:rsid w:val="0058293D"/>
    <w:rsid w:val="00592C2B"/>
    <w:rsid w:val="005C7FCE"/>
    <w:rsid w:val="0061103B"/>
    <w:rsid w:val="006115E5"/>
    <w:rsid w:val="006417EF"/>
    <w:rsid w:val="00644472"/>
    <w:rsid w:val="00664A4D"/>
    <w:rsid w:val="00683BF6"/>
    <w:rsid w:val="006A0533"/>
    <w:rsid w:val="006D31CF"/>
    <w:rsid w:val="006E3082"/>
    <w:rsid w:val="006F3701"/>
    <w:rsid w:val="00700F7D"/>
    <w:rsid w:val="0070125B"/>
    <w:rsid w:val="0070429F"/>
    <w:rsid w:val="00757A20"/>
    <w:rsid w:val="00766FF2"/>
    <w:rsid w:val="00795111"/>
    <w:rsid w:val="007A1CD1"/>
    <w:rsid w:val="007B0B22"/>
    <w:rsid w:val="007F2A95"/>
    <w:rsid w:val="00851288"/>
    <w:rsid w:val="00862CD5"/>
    <w:rsid w:val="008B5CEF"/>
    <w:rsid w:val="008F06FF"/>
    <w:rsid w:val="00900FBE"/>
    <w:rsid w:val="00904F73"/>
    <w:rsid w:val="00910B6A"/>
    <w:rsid w:val="009458D1"/>
    <w:rsid w:val="00965DAE"/>
    <w:rsid w:val="0098053B"/>
    <w:rsid w:val="00983CEC"/>
    <w:rsid w:val="0099293F"/>
    <w:rsid w:val="009A2D64"/>
    <w:rsid w:val="009A437F"/>
    <w:rsid w:val="00A20F00"/>
    <w:rsid w:val="00A374DE"/>
    <w:rsid w:val="00A81B7B"/>
    <w:rsid w:val="00A83935"/>
    <w:rsid w:val="00A96B1B"/>
    <w:rsid w:val="00AB7F7E"/>
    <w:rsid w:val="00AD25D6"/>
    <w:rsid w:val="00AD44E8"/>
    <w:rsid w:val="00AE0F99"/>
    <w:rsid w:val="00B0409A"/>
    <w:rsid w:val="00B06163"/>
    <w:rsid w:val="00B10CB9"/>
    <w:rsid w:val="00B137A2"/>
    <w:rsid w:val="00B40D14"/>
    <w:rsid w:val="00B8660D"/>
    <w:rsid w:val="00BB04D5"/>
    <w:rsid w:val="00BB0737"/>
    <w:rsid w:val="00BE26FC"/>
    <w:rsid w:val="00BF051A"/>
    <w:rsid w:val="00C75314"/>
    <w:rsid w:val="00C86C13"/>
    <w:rsid w:val="00D20FDB"/>
    <w:rsid w:val="00D66A1F"/>
    <w:rsid w:val="00D72309"/>
    <w:rsid w:val="00D7718E"/>
    <w:rsid w:val="00D8148C"/>
    <w:rsid w:val="00D96E21"/>
    <w:rsid w:val="00DC1921"/>
    <w:rsid w:val="00DE502F"/>
    <w:rsid w:val="00DE7D01"/>
    <w:rsid w:val="00DF3CF2"/>
    <w:rsid w:val="00DF6A4B"/>
    <w:rsid w:val="00E03478"/>
    <w:rsid w:val="00E07C0C"/>
    <w:rsid w:val="00E25257"/>
    <w:rsid w:val="00E2674C"/>
    <w:rsid w:val="00E36C36"/>
    <w:rsid w:val="00E44137"/>
    <w:rsid w:val="00E561B7"/>
    <w:rsid w:val="00E630BD"/>
    <w:rsid w:val="00E85669"/>
    <w:rsid w:val="00E858F6"/>
    <w:rsid w:val="00E9055D"/>
    <w:rsid w:val="00EB400B"/>
    <w:rsid w:val="00EE62C8"/>
    <w:rsid w:val="00F23B36"/>
    <w:rsid w:val="00F93ECD"/>
    <w:rsid w:val="00FB036A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674C"/>
    <w:pPr>
      <w:spacing w:after="120"/>
    </w:pPr>
  </w:style>
  <w:style w:type="table" w:styleId="TableGrid">
    <w:name w:val="Table Grid"/>
    <w:basedOn w:val="TableNormal"/>
    <w:rsid w:val="007B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31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1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0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B000F"/>
    <w:pPr>
      <w:widowControl w:val="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3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37F"/>
  </w:style>
  <w:style w:type="character" w:styleId="FootnoteReference">
    <w:name w:val="footnote reference"/>
    <w:uiPriority w:val="99"/>
    <w:semiHidden/>
    <w:unhideWhenUsed/>
    <w:rsid w:val="009A43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674C"/>
    <w:pPr>
      <w:spacing w:after="120"/>
    </w:pPr>
  </w:style>
  <w:style w:type="table" w:styleId="TableGrid">
    <w:name w:val="Table Grid"/>
    <w:basedOn w:val="TableNormal"/>
    <w:rsid w:val="007B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31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1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0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B000F"/>
    <w:pPr>
      <w:widowControl w:val="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3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37F"/>
  </w:style>
  <w:style w:type="character" w:styleId="FootnoteReference">
    <w:name w:val="footnote reference"/>
    <w:uiPriority w:val="99"/>
    <w:semiHidden/>
    <w:unhideWhenUsed/>
    <w:rsid w:val="009A4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Wadsworth</vt:lpstr>
    </vt:vector>
  </TitlesOfParts>
  <Company>City of Wadsworth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Wadsworth</dc:title>
  <dc:creator>Jim Kovacs</dc:creator>
  <cp:lastModifiedBy>Catherine Fix</cp:lastModifiedBy>
  <cp:revision>8</cp:revision>
  <cp:lastPrinted>2024-08-06T15:58:00Z</cp:lastPrinted>
  <dcterms:created xsi:type="dcterms:W3CDTF">2024-08-01T19:20:00Z</dcterms:created>
  <dcterms:modified xsi:type="dcterms:W3CDTF">2024-08-13T14:08:00Z</dcterms:modified>
</cp:coreProperties>
</file>